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94A" w:rsidRPr="00140E81" w:rsidRDefault="00FE794A" w:rsidP="00FE794A">
      <w:pPr>
        <w:spacing w:line="240" w:lineRule="auto"/>
        <w:rPr>
          <w:rFonts w:ascii="Times New Roman" w:hAnsi="Times New Roman" w:cs="Times New Roman"/>
          <w:sz w:val="24"/>
          <w:szCs w:val="24"/>
          <w:lang w:val="en-US"/>
        </w:rPr>
      </w:pPr>
      <w:r w:rsidRPr="00140E81">
        <w:rPr>
          <w:rFonts w:ascii="Times New Roman" w:hAnsi="Times New Roman" w:cs="Times New Roman"/>
          <w:b/>
          <w:noProof/>
          <w:sz w:val="24"/>
          <w:szCs w:val="24"/>
          <w:u w:val="single"/>
          <w:lang w:eastAsia="es-EC"/>
        </w:rPr>
        <w:drawing>
          <wp:anchor distT="0" distB="0" distL="114300" distR="114300" simplePos="0" relativeHeight="251659264" behindDoc="1" locked="0" layoutInCell="1" allowOverlap="1" wp14:anchorId="20BF0DE6" wp14:editId="5C850080">
            <wp:simplePos x="0" y="0"/>
            <wp:positionH relativeFrom="margin">
              <wp:posOffset>2689860</wp:posOffset>
            </wp:positionH>
            <wp:positionV relativeFrom="paragraph">
              <wp:posOffset>3810</wp:posOffset>
            </wp:positionV>
            <wp:extent cx="3125470" cy="338455"/>
            <wp:effectExtent l="0" t="0" r="0" b="4445"/>
            <wp:wrapTight wrapText="bothSides">
              <wp:wrapPolygon edited="0">
                <wp:start x="790" y="0"/>
                <wp:lineTo x="263" y="1216"/>
                <wp:lineTo x="395" y="20668"/>
                <wp:lineTo x="5134" y="20668"/>
                <wp:lineTo x="21460" y="18236"/>
                <wp:lineTo x="21460" y="9726"/>
                <wp:lineTo x="4081" y="0"/>
                <wp:lineTo x="790" y="0"/>
              </wp:wrapPolygon>
            </wp:wrapTight>
            <wp:docPr id="1" name="그림 0" descr="FEALA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LAC logo.gif"/>
                    <pic:cNvPicPr/>
                  </pic:nvPicPr>
                  <pic:blipFill>
                    <a:blip r:embed="rId5"/>
                    <a:stretch>
                      <a:fillRect/>
                    </a:stretch>
                  </pic:blipFill>
                  <pic:spPr>
                    <a:xfrm>
                      <a:off x="0" y="0"/>
                      <a:ext cx="3125470" cy="338455"/>
                    </a:xfrm>
                    <a:prstGeom prst="rect">
                      <a:avLst/>
                    </a:prstGeom>
                  </pic:spPr>
                </pic:pic>
              </a:graphicData>
            </a:graphic>
            <wp14:sizeRelV relativeFrom="margin">
              <wp14:pctHeight>0</wp14:pctHeight>
            </wp14:sizeRelV>
          </wp:anchor>
        </w:drawing>
      </w:r>
    </w:p>
    <w:p w:rsidR="00FE794A" w:rsidRPr="00140E81" w:rsidRDefault="00FE794A" w:rsidP="00FE794A">
      <w:pPr>
        <w:spacing w:line="240" w:lineRule="auto"/>
        <w:rPr>
          <w:rFonts w:ascii="Times New Roman" w:hAnsi="Times New Roman" w:cs="Times New Roman"/>
          <w:sz w:val="24"/>
          <w:szCs w:val="24"/>
          <w:lang w:val="en-US"/>
        </w:rPr>
      </w:pPr>
    </w:p>
    <w:tbl>
      <w:tblPr>
        <w:tblpPr w:leftFromText="142" w:rightFromText="142" w:vertAnchor="page" w:horzAnchor="margin" w:tblpY="2379"/>
        <w:tblW w:w="9209" w:type="dxa"/>
        <w:tblCellMar>
          <w:top w:w="15" w:type="dxa"/>
          <w:left w:w="15" w:type="dxa"/>
          <w:bottom w:w="15" w:type="dxa"/>
          <w:right w:w="15" w:type="dxa"/>
        </w:tblCellMar>
        <w:tblLook w:val="04A0" w:firstRow="1" w:lastRow="0" w:firstColumn="1" w:lastColumn="0" w:noHBand="0" w:noVBand="1"/>
      </w:tblPr>
      <w:tblGrid>
        <w:gridCol w:w="1943"/>
        <w:gridCol w:w="7266"/>
      </w:tblGrid>
      <w:tr w:rsidR="00FE794A" w:rsidRPr="00DF6FF3" w:rsidTr="002A1E4C">
        <w:trPr>
          <w:trHeight w:val="570"/>
        </w:trPr>
        <w:tc>
          <w:tcPr>
            <w:tcW w:w="1943" w:type="dxa"/>
            <w:tcBorders>
              <w:top w:val="thinThickSmallGap" w:sz="12" w:space="0" w:color="000000"/>
              <w:left w:val="single" w:sz="4" w:space="0" w:color="auto"/>
              <w:bottom w:val="thinThickSmallGap" w:sz="12" w:space="0" w:color="000000"/>
              <w:right w:val="single" w:sz="2" w:space="0" w:color="000000"/>
            </w:tcBorders>
            <w:shd w:val="clear" w:color="auto" w:fill="D9E2F3" w:themeFill="accent5" w:themeFillTint="33"/>
            <w:tcMar>
              <w:top w:w="28" w:type="dxa"/>
              <w:left w:w="28" w:type="dxa"/>
              <w:bottom w:w="28" w:type="dxa"/>
              <w:right w:w="28" w:type="dxa"/>
            </w:tcMar>
            <w:vAlign w:val="center"/>
            <w:hideMark/>
          </w:tcPr>
          <w:p w:rsidR="00FE794A" w:rsidRPr="00336F4B" w:rsidRDefault="00FE794A" w:rsidP="002A1E4C">
            <w:pPr>
              <w:spacing w:line="240" w:lineRule="auto"/>
              <w:jc w:val="center"/>
              <w:rPr>
                <w:rFonts w:ascii="Arial" w:hAnsi="Arial" w:cs="Arial"/>
                <w:sz w:val="24"/>
                <w:szCs w:val="24"/>
              </w:rPr>
            </w:pPr>
            <w:proofErr w:type="spellStart"/>
            <w:r w:rsidRPr="00336F4B">
              <w:rPr>
                <w:rFonts w:ascii="Arial" w:hAnsi="Arial" w:cs="Arial"/>
                <w:b/>
                <w:bCs/>
                <w:sz w:val="24"/>
                <w:szCs w:val="24"/>
              </w:rPr>
              <w:t>Title</w:t>
            </w:r>
            <w:proofErr w:type="spellEnd"/>
          </w:p>
        </w:tc>
        <w:tc>
          <w:tcPr>
            <w:tcW w:w="7266" w:type="dxa"/>
            <w:tcBorders>
              <w:top w:val="thinThickSmallGap" w:sz="12" w:space="0" w:color="000000"/>
              <w:left w:val="single" w:sz="2" w:space="0" w:color="000000"/>
              <w:bottom w:val="thinThickSmallGap" w:sz="12" w:space="0" w:color="000000"/>
              <w:right w:val="single" w:sz="4" w:space="0" w:color="auto"/>
            </w:tcBorders>
            <w:tcMar>
              <w:top w:w="28" w:type="dxa"/>
              <w:left w:w="28" w:type="dxa"/>
              <w:bottom w:w="28" w:type="dxa"/>
              <w:right w:w="28" w:type="dxa"/>
            </w:tcMar>
            <w:vAlign w:val="center"/>
            <w:hideMark/>
          </w:tcPr>
          <w:p w:rsidR="00FE794A" w:rsidRPr="00336F4B" w:rsidRDefault="00FE794A" w:rsidP="002A1E4C">
            <w:pPr>
              <w:spacing w:line="240" w:lineRule="auto"/>
              <w:rPr>
                <w:rFonts w:ascii="Arial" w:hAnsi="Arial" w:cs="Arial"/>
                <w:sz w:val="24"/>
                <w:szCs w:val="24"/>
                <w:lang w:val="en-US"/>
              </w:rPr>
            </w:pPr>
            <w:r w:rsidRPr="00336F4B">
              <w:rPr>
                <w:rFonts w:ascii="Arial" w:hAnsi="Arial" w:cs="Arial"/>
                <w:sz w:val="24"/>
                <w:szCs w:val="24"/>
                <w:lang w:val="en-US"/>
              </w:rPr>
              <w:t>Bi-Regional Virtual Centre for the Development of Micro, Small and Medium Enterprises</w:t>
            </w:r>
          </w:p>
        </w:tc>
      </w:tr>
      <w:tr w:rsidR="00FE794A" w:rsidRPr="00DF6FF3" w:rsidTr="002A1E4C">
        <w:trPr>
          <w:trHeight w:val="570"/>
        </w:trPr>
        <w:tc>
          <w:tcPr>
            <w:tcW w:w="1943" w:type="dxa"/>
            <w:tcBorders>
              <w:top w:val="thinThickSmallGap" w:sz="12" w:space="0" w:color="000000"/>
              <w:left w:val="single" w:sz="4" w:space="0" w:color="auto"/>
              <w:bottom w:val="single" w:sz="2" w:space="0" w:color="000000"/>
              <w:right w:val="single" w:sz="2" w:space="0" w:color="000000"/>
            </w:tcBorders>
            <w:shd w:val="clear" w:color="auto" w:fill="D9E2F3" w:themeFill="accent5" w:themeFillTint="33"/>
            <w:tcMar>
              <w:top w:w="28" w:type="dxa"/>
              <w:left w:w="28" w:type="dxa"/>
              <w:bottom w:w="28" w:type="dxa"/>
              <w:right w:w="28" w:type="dxa"/>
            </w:tcMar>
            <w:vAlign w:val="center"/>
          </w:tcPr>
          <w:p w:rsidR="00FE794A" w:rsidRPr="00336F4B" w:rsidRDefault="00FE794A" w:rsidP="002A1E4C">
            <w:pPr>
              <w:spacing w:line="240" w:lineRule="auto"/>
              <w:jc w:val="center"/>
              <w:rPr>
                <w:rFonts w:ascii="Arial" w:hAnsi="Arial" w:cs="Arial"/>
                <w:sz w:val="24"/>
                <w:szCs w:val="24"/>
              </w:rPr>
            </w:pPr>
            <w:proofErr w:type="spellStart"/>
            <w:r w:rsidRPr="00336F4B">
              <w:rPr>
                <w:rFonts w:ascii="Arial" w:hAnsi="Arial" w:cs="Arial"/>
                <w:b/>
                <w:bCs/>
                <w:sz w:val="24"/>
                <w:szCs w:val="24"/>
              </w:rPr>
              <w:t>Working</w:t>
            </w:r>
            <w:proofErr w:type="spellEnd"/>
            <w:r w:rsidRPr="00336F4B">
              <w:rPr>
                <w:rFonts w:ascii="Arial" w:hAnsi="Arial" w:cs="Arial"/>
                <w:b/>
                <w:bCs/>
                <w:sz w:val="24"/>
                <w:szCs w:val="24"/>
              </w:rPr>
              <w:t xml:space="preserve"> </w:t>
            </w:r>
            <w:proofErr w:type="spellStart"/>
            <w:r w:rsidRPr="00336F4B">
              <w:rPr>
                <w:rFonts w:ascii="Arial" w:hAnsi="Arial" w:cs="Arial"/>
                <w:b/>
                <w:bCs/>
                <w:sz w:val="24"/>
                <w:szCs w:val="24"/>
              </w:rPr>
              <w:t>Group</w:t>
            </w:r>
            <w:proofErr w:type="spellEnd"/>
          </w:p>
        </w:tc>
        <w:tc>
          <w:tcPr>
            <w:tcW w:w="7266" w:type="dxa"/>
            <w:tcBorders>
              <w:top w:val="thinThickSmallGap" w:sz="1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FE794A" w:rsidRPr="00336F4B" w:rsidRDefault="00FE794A" w:rsidP="002A1E4C">
            <w:pPr>
              <w:spacing w:line="240" w:lineRule="auto"/>
              <w:rPr>
                <w:rFonts w:ascii="Arial" w:hAnsi="Arial" w:cs="Arial"/>
                <w:sz w:val="24"/>
                <w:szCs w:val="24"/>
                <w:lang w:val="en-US"/>
              </w:rPr>
            </w:pPr>
            <w:r w:rsidRPr="00336F4B">
              <w:rPr>
                <w:rFonts w:ascii="Arial" w:hAnsi="Arial" w:cs="Arial"/>
                <w:sz w:val="24"/>
                <w:szCs w:val="24"/>
                <w:lang w:val="en-US"/>
              </w:rPr>
              <w:t>Trade, Investment, Tourism and MSMEs</w:t>
            </w:r>
          </w:p>
        </w:tc>
      </w:tr>
    </w:tbl>
    <w:p w:rsidR="00FE794A" w:rsidRPr="00336F4B" w:rsidRDefault="00FE794A" w:rsidP="00FE794A">
      <w:pPr>
        <w:spacing w:line="240" w:lineRule="auto"/>
        <w:rPr>
          <w:rFonts w:ascii="Arial" w:hAnsi="Arial" w:cs="Arial"/>
          <w:sz w:val="24"/>
          <w:szCs w:val="24"/>
          <w:lang w:val="en-US"/>
        </w:rPr>
      </w:pPr>
    </w:p>
    <w:p w:rsidR="00FE794A" w:rsidRPr="00336F4B" w:rsidRDefault="00FE794A" w:rsidP="00FE794A">
      <w:pPr>
        <w:pStyle w:val="Body"/>
        <w:spacing w:line="240" w:lineRule="auto"/>
        <w:jc w:val="both"/>
        <w:rPr>
          <w:rFonts w:ascii="Arial" w:hAnsi="Arial" w:cs="Arial"/>
          <w:b/>
          <w:sz w:val="24"/>
          <w:szCs w:val="24"/>
          <w:lang w:val="en-US"/>
        </w:rPr>
      </w:pPr>
      <w:r w:rsidRPr="00336F4B">
        <w:rPr>
          <w:rFonts w:ascii="Arial" w:hAnsi="Arial" w:cs="Arial"/>
          <w:b/>
          <w:sz w:val="24"/>
          <w:szCs w:val="24"/>
          <w:lang w:val="en-US"/>
        </w:rPr>
        <w:t>OBJECTIVE</w:t>
      </w:r>
    </w:p>
    <w:p w:rsidR="00410314" w:rsidRPr="00336F4B" w:rsidRDefault="00955C57" w:rsidP="00FE794A">
      <w:pPr>
        <w:pStyle w:val="Body"/>
        <w:spacing w:line="240" w:lineRule="auto"/>
        <w:jc w:val="both"/>
        <w:rPr>
          <w:rFonts w:ascii="Arial" w:hAnsi="Arial" w:cs="Arial"/>
          <w:sz w:val="24"/>
          <w:szCs w:val="24"/>
          <w:lang w:val="en-US"/>
        </w:rPr>
      </w:pPr>
      <w:r w:rsidRPr="00336F4B">
        <w:rPr>
          <w:rFonts w:ascii="Arial" w:hAnsi="Arial" w:cs="Arial"/>
          <w:sz w:val="24"/>
          <w:szCs w:val="24"/>
          <w:lang w:val="en-US"/>
        </w:rPr>
        <w:t>The main objective of the Bi Regional Center for SMES Development is oriented towards generating the conditions of cooperation among the countries which are members of the FOCALAE, with the purpose of sharing experiences, knowing policies and good activities for fomenting and developing SMES and the creation of a focal centers web that support the SMES located in the countries which are members of the FOCALAE so it facilitates them the access of their productions to the international value chains.</w:t>
      </w:r>
    </w:p>
    <w:p w:rsidR="00336F4B" w:rsidRDefault="00336F4B" w:rsidP="00FE794A">
      <w:pPr>
        <w:pStyle w:val="Body"/>
        <w:spacing w:line="240" w:lineRule="auto"/>
        <w:jc w:val="both"/>
        <w:rPr>
          <w:rFonts w:ascii="Arial" w:hAnsi="Arial" w:cs="Arial"/>
          <w:sz w:val="24"/>
          <w:szCs w:val="24"/>
          <w:lang w:val="en-US"/>
        </w:rPr>
      </w:pPr>
    </w:p>
    <w:p w:rsidR="00FE794A" w:rsidRPr="00336F4B" w:rsidRDefault="00FE794A" w:rsidP="00FE794A">
      <w:pPr>
        <w:pStyle w:val="Body"/>
        <w:spacing w:line="240" w:lineRule="auto"/>
        <w:jc w:val="both"/>
        <w:rPr>
          <w:rFonts w:ascii="Arial" w:hAnsi="Arial" w:cs="Arial"/>
          <w:b/>
          <w:sz w:val="24"/>
          <w:szCs w:val="24"/>
          <w:lang w:val="en-US"/>
        </w:rPr>
      </w:pPr>
      <w:r w:rsidRPr="00336F4B">
        <w:rPr>
          <w:rFonts w:ascii="Arial" w:hAnsi="Arial" w:cs="Arial"/>
          <w:b/>
          <w:sz w:val="24"/>
          <w:szCs w:val="24"/>
          <w:lang w:val="en-US"/>
        </w:rPr>
        <w:t>TIME</w:t>
      </w:r>
    </w:p>
    <w:p w:rsidR="00410314" w:rsidRPr="00336F4B" w:rsidRDefault="006D7032" w:rsidP="00FE794A">
      <w:pPr>
        <w:spacing w:line="240" w:lineRule="auto"/>
        <w:rPr>
          <w:rFonts w:ascii="Arial" w:hAnsi="Arial" w:cs="Arial"/>
          <w:sz w:val="24"/>
          <w:szCs w:val="24"/>
          <w:lang w:val="en-US"/>
        </w:rPr>
      </w:pPr>
      <w:r w:rsidRPr="006D7032">
        <w:rPr>
          <w:rFonts w:ascii="Arial" w:hAnsi="Arial" w:cs="Arial"/>
          <w:sz w:val="24"/>
          <w:szCs w:val="24"/>
          <w:lang w:val="en"/>
        </w:rPr>
        <w:t>2016 and thereafter</w:t>
      </w:r>
    </w:p>
    <w:p w:rsidR="00206E1C" w:rsidRDefault="00206E1C" w:rsidP="00FE794A">
      <w:pPr>
        <w:spacing w:line="240" w:lineRule="auto"/>
        <w:rPr>
          <w:rFonts w:ascii="Arial" w:hAnsi="Arial" w:cs="Arial"/>
          <w:b/>
          <w:sz w:val="24"/>
          <w:szCs w:val="24"/>
          <w:lang w:val="en-US"/>
        </w:rPr>
      </w:pPr>
    </w:p>
    <w:p w:rsidR="00FE794A" w:rsidRPr="00DF6FF3" w:rsidRDefault="00FE794A" w:rsidP="00FE794A">
      <w:pPr>
        <w:spacing w:line="240" w:lineRule="auto"/>
        <w:rPr>
          <w:rFonts w:ascii="Arial" w:hAnsi="Arial" w:cs="Arial"/>
          <w:b/>
          <w:sz w:val="24"/>
          <w:szCs w:val="24"/>
          <w:lang w:val="en-US"/>
        </w:rPr>
      </w:pPr>
      <w:r w:rsidRPr="00DF6FF3">
        <w:rPr>
          <w:rFonts w:ascii="Arial" w:hAnsi="Arial" w:cs="Arial"/>
          <w:b/>
          <w:sz w:val="24"/>
          <w:szCs w:val="24"/>
          <w:lang w:val="en-US"/>
        </w:rPr>
        <w:t>MONITORING &amp; EVALUATION</w:t>
      </w:r>
    </w:p>
    <w:p w:rsidR="00FE794A" w:rsidRPr="00DF6FF3" w:rsidRDefault="006D7032" w:rsidP="00FE794A">
      <w:pPr>
        <w:spacing w:line="240" w:lineRule="auto"/>
        <w:rPr>
          <w:rFonts w:ascii="Arial" w:hAnsi="Arial" w:cs="Arial"/>
          <w:sz w:val="24"/>
          <w:szCs w:val="24"/>
          <w:lang w:val="en-US"/>
        </w:rPr>
      </w:pPr>
      <w:r w:rsidRPr="00DF6FF3">
        <w:rPr>
          <w:rFonts w:ascii="Arial" w:hAnsi="Arial" w:cs="Arial"/>
          <w:sz w:val="24"/>
          <w:szCs w:val="24"/>
          <w:lang w:val="en"/>
        </w:rPr>
        <w:t xml:space="preserve">Government of Ecuador: </w:t>
      </w:r>
      <w:r w:rsidRPr="00DF6FF3">
        <w:rPr>
          <w:rFonts w:ascii="Arial" w:hAnsi="Arial" w:cs="Arial"/>
          <w:sz w:val="24"/>
          <w:szCs w:val="24"/>
          <w:lang w:val="en-US"/>
        </w:rPr>
        <w:t>Ministry of Foreign Trade and Ministry of Foreign Affairs and Human Mobility</w:t>
      </w:r>
      <w:r w:rsidR="00DF6FF3">
        <w:rPr>
          <w:rFonts w:ascii="Arial" w:hAnsi="Arial" w:cs="Arial"/>
          <w:sz w:val="24"/>
          <w:szCs w:val="24"/>
          <w:lang w:val="en-US"/>
        </w:rPr>
        <w:t>.</w:t>
      </w:r>
    </w:p>
    <w:p w:rsidR="00FE794A" w:rsidRPr="00DF6FF3" w:rsidRDefault="00206E1C" w:rsidP="00FE794A">
      <w:pPr>
        <w:spacing w:line="240" w:lineRule="auto"/>
        <w:rPr>
          <w:rFonts w:ascii="Arial" w:hAnsi="Arial" w:cs="Arial"/>
          <w:sz w:val="24"/>
          <w:szCs w:val="24"/>
          <w:lang w:val="en-US"/>
        </w:rPr>
      </w:pPr>
      <w:r w:rsidRPr="00DF6FF3">
        <w:rPr>
          <w:rFonts w:ascii="Arial" w:hAnsi="Arial" w:cs="Arial"/>
          <w:sz w:val="24"/>
          <w:szCs w:val="24"/>
          <w:lang w:val="en-US"/>
        </w:rPr>
        <w:t>National Focal Points as co-managers of the platform</w:t>
      </w:r>
      <w:r w:rsidR="00DF6FF3">
        <w:rPr>
          <w:rFonts w:ascii="Arial" w:hAnsi="Arial" w:cs="Arial"/>
          <w:sz w:val="24"/>
          <w:szCs w:val="24"/>
          <w:lang w:val="en-US"/>
        </w:rPr>
        <w:t>.</w:t>
      </w:r>
      <w:r w:rsidR="00FE794A" w:rsidRPr="00DF6FF3">
        <w:rPr>
          <w:rFonts w:ascii="Arial" w:hAnsi="Arial" w:cs="Arial"/>
          <w:sz w:val="24"/>
          <w:szCs w:val="24"/>
          <w:lang w:val="en-US"/>
        </w:rPr>
        <w:br/>
      </w:r>
    </w:p>
    <w:p w:rsidR="00FE794A" w:rsidRPr="00DF6FF3" w:rsidRDefault="00FE794A" w:rsidP="00FE794A">
      <w:pPr>
        <w:spacing w:line="240" w:lineRule="auto"/>
        <w:rPr>
          <w:rFonts w:ascii="Arial" w:hAnsi="Arial" w:cs="Arial"/>
          <w:b/>
          <w:sz w:val="24"/>
          <w:szCs w:val="24"/>
          <w:lang w:val="en-US"/>
        </w:rPr>
      </w:pPr>
      <w:r w:rsidRPr="00DF6FF3">
        <w:rPr>
          <w:rFonts w:ascii="Arial" w:hAnsi="Arial" w:cs="Arial"/>
          <w:b/>
          <w:sz w:val="24"/>
          <w:szCs w:val="24"/>
          <w:lang w:val="en-US"/>
        </w:rPr>
        <w:t xml:space="preserve">PROJECT CONTACT POINT </w:t>
      </w:r>
    </w:p>
    <w:p w:rsidR="00FE794A" w:rsidRPr="00DF6FF3" w:rsidRDefault="00FE794A" w:rsidP="00DE2DD9">
      <w:pPr>
        <w:spacing w:after="0" w:line="240" w:lineRule="auto"/>
        <w:ind w:left="1416"/>
        <w:rPr>
          <w:rFonts w:ascii="Arial" w:hAnsi="Arial" w:cs="Arial"/>
          <w:sz w:val="24"/>
          <w:szCs w:val="24"/>
          <w:lang w:val="en-US"/>
        </w:rPr>
      </w:pPr>
      <w:r w:rsidRPr="00DF6FF3">
        <w:rPr>
          <w:rFonts w:ascii="Arial" w:hAnsi="Arial" w:cs="Arial"/>
          <w:sz w:val="24"/>
          <w:szCs w:val="24"/>
          <w:lang w:val="en-US"/>
        </w:rPr>
        <w:t>NAME:</w:t>
      </w:r>
      <w:r w:rsidRPr="00DF6FF3">
        <w:rPr>
          <w:rFonts w:ascii="Arial" w:hAnsi="Arial" w:cs="Arial"/>
          <w:sz w:val="24"/>
          <w:szCs w:val="24"/>
          <w:lang w:val="en-US"/>
        </w:rPr>
        <w:tab/>
      </w:r>
      <w:r w:rsidRPr="00DF6FF3">
        <w:rPr>
          <w:rFonts w:ascii="Arial" w:hAnsi="Arial" w:cs="Arial"/>
          <w:sz w:val="24"/>
          <w:szCs w:val="24"/>
          <w:lang w:val="en-US"/>
        </w:rPr>
        <w:tab/>
        <w:t>FABIAN VALDIVIESO</w:t>
      </w:r>
    </w:p>
    <w:p w:rsidR="00FE794A" w:rsidRPr="00DF6FF3" w:rsidRDefault="006D7032" w:rsidP="00DE2DD9">
      <w:pPr>
        <w:spacing w:after="0" w:line="240" w:lineRule="auto"/>
        <w:ind w:left="1416"/>
        <w:rPr>
          <w:rFonts w:ascii="Arial" w:hAnsi="Arial" w:cs="Arial"/>
          <w:sz w:val="24"/>
          <w:szCs w:val="24"/>
          <w:lang w:val="en-US"/>
        </w:rPr>
      </w:pPr>
      <w:r w:rsidRPr="00DF6FF3">
        <w:rPr>
          <w:rFonts w:ascii="Arial" w:hAnsi="Arial" w:cs="Arial"/>
          <w:sz w:val="24"/>
          <w:szCs w:val="24"/>
          <w:lang w:val="en-US"/>
        </w:rPr>
        <w:t>POSITION:</w:t>
      </w:r>
      <w:r w:rsidRPr="00DF6FF3">
        <w:rPr>
          <w:rFonts w:ascii="Arial" w:hAnsi="Arial" w:cs="Arial"/>
          <w:sz w:val="24"/>
          <w:szCs w:val="24"/>
          <w:lang w:val="en-US"/>
        </w:rPr>
        <w:tab/>
      </w:r>
      <w:r w:rsidRPr="00DF6FF3">
        <w:rPr>
          <w:rFonts w:ascii="Arial" w:hAnsi="Arial" w:cs="Arial"/>
          <w:sz w:val="24"/>
          <w:szCs w:val="24"/>
          <w:lang w:val="en-US"/>
        </w:rPr>
        <w:tab/>
        <w:t>A</w:t>
      </w:r>
      <w:r w:rsidR="00FE794A" w:rsidRPr="00DF6FF3">
        <w:rPr>
          <w:rFonts w:ascii="Arial" w:hAnsi="Arial" w:cs="Arial"/>
          <w:sz w:val="24"/>
          <w:szCs w:val="24"/>
          <w:lang w:val="en-US"/>
        </w:rPr>
        <w:t>MBASSADOR</w:t>
      </w:r>
    </w:p>
    <w:p w:rsidR="00FE794A" w:rsidRPr="00DF6FF3" w:rsidRDefault="00FE794A" w:rsidP="00DE2DD9">
      <w:pPr>
        <w:spacing w:after="0" w:line="240" w:lineRule="auto"/>
        <w:ind w:left="3540" w:hanging="2124"/>
        <w:rPr>
          <w:rFonts w:ascii="Arial" w:hAnsi="Arial" w:cs="Arial"/>
          <w:sz w:val="24"/>
          <w:szCs w:val="24"/>
          <w:lang w:val="en-US"/>
        </w:rPr>
      </w:pPr>
      <w:r w:rsidRPr="00DF6FF3">
        <w:rPr>
          <w:rFonts w:ascii="Arial" w:hAnsi="Arial" w:cs="Arial"/>
          <w:sz w:val="24"/>
          <w:szCs w:val="24"/>
          <w:lang w:val="en-US"/>
        </w:rPr>
        <w:t xml:space="preserve">INSTITUTION: </w:t>
      </w:r>
      <w:r w:rsidRPr="00DF6FF3">
        <w:rPr>
          <w:rFonts w:ascii="Arial" w:hAnsi="Arial" w:cs="Arial"/>
          <w:sz w:val="24"/>
          <w:szCs w:val="24"/>
          <w:lang w:val="en-US"/>
        </w:rPr>
        <w:tab/>
      </w:r>
      <w:r w:rsidR="00DF6FF3" w:rsidRPr="00DF6FF3">
        <w:rPr>
          <w:rFonts w:ascii="Arial" w:hAnsi="Arial" w:cs="Arial"/>
          <w:sz w:val="24"/>
          <w:szCs w:val="24"/>
          <w:lang w:val="en-US"/>
        </w:rPr>
        <w:t>Executive Secretariat to the Ecuadorean Committee to the Pacific Basin</w:t>
      </w:r>
      <w:r w:rsidR="00DF6FF3" w:rsidRPr="00DF6FF3">
        <w:rPr>
          <w:rFonts w:ascii="Arial" w:hAnsi="Arial" w:cs="Arial"/>
          <w:sz w:val="24"/>
          <w:szCs w:val="24"/>
          <w:lang w:val="en-US"/>
        </w:rPr>
        <w:t xml:space="preserve"> </w:t>
      </w:r>
      <w:r w:rsidRPr="00DF6FF3">
        <w:rPr>
          <w:rFonts w:ascii="Arial" w:hAnsi="Arial" w:cs="Arial"/>
          <w:sz w:val="24"/>
          <w:szCs w:val="24"/>
          <w:lang w:val="en-US"/>
        </w:rPr>
        <w:t>-ECUPEC</w:t>
      </w:r>
    </w:p>
    <w:p w:rsidR="00410314" w:rsidRPr="00DF6FF3" w:rsidRDefault="00FE794A" w:rsidP="00DE2DD9">
      <w:pPr>
        <w:spacing w:after="0" w:line="240" w:lineRule="auto"/>
        <w:ind w:left="1416"/>
        <w:rPr>
          <w:rFonts w:ascii="Arial" w:hAnsi="Arial" w:cs="Arial"/>
          <w:sz w:val="24"/>
          <w:szCs w:val="24"/>
        </w:rPr>
      </w:pPr>
      <w:r w:rsidRPr="00DF6FF3">
        <w:rPr>
          <w:rFonts w:ascii="Arial" w:hAnsi="Arial" w:cs="Arial"/>
          <w:sz w:val="24"/>
          <w:szCs w:val="24"/>
          <w:lang w:val="es-ES"/>
        </w:rPr>
        <w:t>EMAIL:</w:t>
      </w:r>
      <w:r w:rsidRPr="00DF6FF3">
        <w:rPr>
          <w:rFonts w:ascii="Arial" w:hAnsi="Arial" w:cs="Arial"/>
          <w:sz w:val="24"/>
          <w:szCs w:val="24"/>
          <w:lang w:val="es-ES"/>
        </w:rPr>
        <w:tab/>
      </w:r>
      <w:r w:rsidR="00410314" w:rsidRPr="00DF6FF3">
        <w:rPr>
          <w:rFonts w:ascii="Arial" w:hAnsi="Arial" w:cs="Arial"/>
          <w:sz w:val="24"/>
          <w:szCs w:val="24"/>
          <w:lang w:val="es-ES"/>
        </w:rPr>
        <w:tab/>
      </w:r>
      <w:hyperlink r:id="rId6" w:history="1">
        <w:r w:rsidR="00336F4B" w:rsidRPr="00DF6FF3">
          <w:rPr>
            <w:rStyle w:val="Hipervnculo"/>
            <w:rFonts w:ascii="Arial" w:hAnsi="Arial" w:cs="Arial"/>
            <w:sz w:val="24"/>
            <w:szCs w:val="24"/>
          </w:rPr>
          <w:t>ecupec@mmrree.gob.ec</w:t>
        </w:r>
      </w:hyperlink>
      <w:r w:rsidR="00336F4B" w:rsidRPr="00DF6FF3">
        <w:rPr>
          <w:rFonts w:ascii="Arial" w:hAnsi="Arial" w:cs="Arial"/>
          <w:sz w:val="24"/>
          <w:szCs w:val="24"/>
        </w:rPr>
        <w:t xml:space="preserve"> </w:t>
      </w:r>
    </w:p>
    <w:p w:rsidR="00FE794A" w:rsidRPr="00DF6FF3" w:rsidRDefault="00410314" w:rsidP="00DE2DD9">
      <w:pPr>
        <w:spacing w:after="0" w:line="240" w:lineRule="auto"/>
        <w:ind w:left="1416"/>
        <w:rPr>
          <w:rFonts w:ascii="Arial" w:hAnsi="Arial" w:cs="Arial"/>
          <w:sz w:val="24"/>
          <w:szCs w:val="24"/>
        </w:rPr>
      </w:pPr>
      <w:r w:rsidRPr="00DF6FF3">
        <w:rPr>
          <w:rFonts w:ascii="Arial" w:hAnsi="Arial" w:cs="Arial"/>
          <w:sz w:val="24"/>
          <w:szCs w:val="24"/>
        </w:rPr>
        <w:t>TELE</w:t>
      </w:r>
      <w:r w:rsidR="00DF6FF3">
        <w:rPr>
          <w:rFonts w:ascii="Arial" w:hAnsi="Arial" w:cs="Arial"/>
          <w:sz w:val="24"/>
          <w:szCs w:val="24"/>
        </w:rPr>
        <w:t>PHONE</w:t>
      </w:r>
      <w:r w:rsidRPr="00DF6FF3">
        <w:rPr>
          <w:rFonts w:ascii="Arial" w:hAnsi="Arial" w:cs="Arial"/>
          <w:sz w:val="24"/>
          <w:szCs w:val="24"/>
        </w:rPr>
        <w:t>:</w:t>
      </w:r>
      <w:r w:rsidRPr="00DF6FF3">
        <w:rPr>
          <w:rFonts w:ascii="Arial" w:hAnsi="Arial" w:cs="Arial"/>
          <w:sz w:val="24"/>
          <w:szCs w:val="24"/>
        </w:rPr>
        <w:tab/>
      </w:r>
      <w:r w:rsidR="00FE794A" w:rsidRPr="00DF6FF3">
        <w:rPr>
          <w:rFonts w:ascii="Arial" w:hAnsi="Arial" w:cs="Arial"/>
          <w:sz w:val="24"/>
          <w:szCs w:val="24"/>
        </w:rPr>
        <w:t>005932 2993 200   Ext. 12831</w:t>
      </w:r>
    </w:p>
    <w:p w:rsidR="00FE794A" w:rsidRPr="00336F4B" w:rsidRDefault="00FE794A" w:rsidP="00FE794A">
      <w:pPr>
        <w:spacing w:line="240" w:lineRule="auto"/>
        <w:ind w:left="1416"/>
        <w:rPr>
          <w:rFonts w:ascii="Arial" w:hAnsi="Arial" w:cs="Arial"/>
          <w:sz w:val="24"/>
          <w:szCs w:val="24"/>
          <w:lang w:val="es-ES"/>
        </w:rPr>
      </w:pPr>
      <w:r w:rsidRPr="00336F4B">
        <w:rPr>
          <w:rFonts w:ascii="Arial" w:hAnsi="Arial" w:cs="Arial"/>
          <w:sz w:val="24"/>
          <w:szCs w:val="24"/>
          <w:lang w:val="es-ES"/>
        </w:rPr>
        <w:tab/>
      </w:r>
      <w:r w:rsidRPr="00336F4B">
        <w:rPr>
          <w:rFonts w:ascii="Arial" w:hAnsi="Arial" w:cs="Arial"/>
          <w:sz w:val="24"/>
          <w:szCs w:val="24"/>
          <w:lang w:val="es-ES"/>
        </w:rPr>
        <w:tab/>
      </w:r>
    </w:p>
    <w:p w:rsidR="002C64D1" w:rsidRPr="00336F4B" w:rsidRDefault="00DF6FF3">
      <w:pPr>
        <w:rPr>
          <w:rFonts w:ascii="Arial" w:hAnsi="Arial" w:cs="Arial"/>
          <w:sz w:val="24"/>
          <w:szCs w:val="24"/>
        </w:rPr>
      </w:pPr>
      <w:bookmarkStart w:id="0" w:name="_GoBack"/>
      <w:bookmarkEnd w:id="0"/>
    </w:p>
    <w:sectPr w:rsidR="002C64D1" w:rsidRPr="00336F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95CCD"/>
    <w:multiLevelType w:val="hybridMultilevel"/>
    <w:tmpl w:val="86E0D6EA"/>
    <w:lvl w:ilvl="0" w:tplc="FC0ABC76">
      <w:start w:val="1"/>
      <w:numFmt w:val="lowerLetter"/>
      <w:lvlText w:val="%1."/>
      <w:lvlJc w:val="left"/>
      <w:pPr>
        <w:ind w:left="1061" w:hanging="390"/>
      </w:pPr>
      <w:rPr>
        <w:rFonts w:eastAsia="Calibri" w:cs="Calibri" w:hint="default"/>
      </w:rPr>
    </w:lvl>
    <w:lvl w:ilvl="1" w:tplc="0C0A0019" w:tentative="1">
      <w:start w:val="1"/>
      <w:numFmt w:val="lowerLetter"/>
      <w:lvlText w:val="%2."/>
      <w:lvlJc w:val="left"/>
      <w:pPr>
        <w:ind w:left="1751" w:hanging="360"/>
      </w:pPr>
    </w:lvl>
    <w:lvl w:ilvl="2" w:tplc="0C0A001B" w:tentative="1">
      <w:start w:val="1"/>
      <w:numFmt w:val="lowerRoman"/>
      <w:lvlText w:val="%3."/>
      <w:lvlJc w:val="right"/>
      <w:pPr>
        <w:ind w:left="2471" w:hanging="180"/>
      </w:pPr>
    </w:lvl>
    <w:lvl w:ilvl="3" w:tplc="0C0A000F" w:tentative="1">
      <w:start w:val="1"/>
      <w:numFmt w:val="decimal"/>
      <w:lvlText w:val="%4."/>
      <w:lvlJc w:val="left"/>
      <w:pPr>
        <w:ind w:left="3191" w:hanging="360"/>
      </w:pPr>
    </w:lvl>
    <w:lvl w:ilvl="4" w:tplc="0C0A0019" w:tentative="1">
      <w:start w:val="1"/>
      <w:numFmt w:val="lowerLetter"/>
      <w:lvlText w:val="%5."/>
      <w:lvlJc w:val="left"/>
      <w:pPr>
        <w:ind w:left="3911" w:hanging="360"/>
      </w:pPr>
    </w:lvl>
    <w:lvl w:ilvl="5" w:tplc="0C0A001B" w:tentative="1">
      <w:start w:val="1"/>
      <w:numFmt w:val="lowerRoman"/>
      <w:lvlText w:val="%6."/>
      <w:lvlJc w:val="right"/>
      <w:pPr>
        <w:ind w:left="4631" w:hanging="180"/>
      </w:pPr>
    </w:lvl>
    <w:lvl w:ilvl="6" w:tplc="0C0A000F" w:tentative="1">
      <w:start w:val="1"/>
      <w:numFmt w:val="decimal"/>
      <w:lvlText w:val="%7."/>
      <w:lvlJc w:val="left"/>
      <w:pPr>
        <w:ind w:left="5351" w:hanging="360"/>
      </w:pPr>
    </w:lvl>
    <w:lvl w:ilvl="7" w:tplc="0C0A0019" w:tentative="1">
      <w:start w:val="1"/>
      <w:numFmt w:val="lowerLetter"/>
      <w:lvlText w:val="%8."/>
      <w:lvlJc w:val="left"/>
      <w:pPr>
        <w:ind w:left="6071" w:hanging="360"/>
      </w:pPr>
    </w:lvl>
    <w:lvl w:ilvl="8" w:tplc="0C0A001B" w:tentative="1">
      <w:start w:val="1"/>
      <w:numFmt w:val="lowerRoman"/>
      <w:lvlText w:val="%9."/>
      <w:lvlJc w:val="right"/>
      <w:pPr>
        <w:ind w:left="679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94A"/>
    <w:rsid w:val="00206E1C"/>
    <w:rsid w:val="00336F4B"/>
    <w:rsid w:val="00410314"/>
    <w:rsid w:val="006D7032"/>
    <w:rsid w:val="00955C57"/>
    <w:rsid w:val="00973782"/>
    <w:rsid w:val="00DE2DD9"/>
    <w:rsid w:val="00DF6FF3"/>
    <w:rsid w:val="00E23C03"/>
    <w:rsid w:val="00FE794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96F4B-7878-4044-9B8E-670D14CB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9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
    <w:name w:val="Body"/>
    <w:rsid w:val="00FE794A"/>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eastAsia="es-EC"/>
    </w:rPr>
  </w:style>
  <w:style w:type="character" w:customStyle="1" w:styleId="hps">
    <w:name w:val="hps"/>
    <w:basedOn w:val="Fuentedeprrafopredeter"/>
    <w:rsid w:val="00FE794A"/>
  </w:style>
  <w:style w:type="character" w:styleId="Hipervnculo">
    <w:name w:val="Hyperlink"/>
    <w:basedOn w:val="Fuentedeprrafopredeter"/>
    <w:uiPriority w:val="99"/>
    <w:unhideWhenUsed/>
    <w:rsid w:val="00336F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upec@mmrree.gob.ec"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974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Monserrath Torres Jima</dc:creator>
  <cp:lastModifiedBy>Monica Monserrath Torres Jima</cp:lastModifiedBy>
  <cp:revision>2</cp:revision>
  <dcterms:created xsi:type="dcterms:W3CDTF">2016-08-09T21:58:00Z</dcterms:created>
  <dcterms:modified xsi:type="dcterms:W3CDTF">2016-08-09T21:58:00Z</dcterms:modified>
</cp:coreProperties>
</file>